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13/1</w:t>
      </w:r>
    </w:p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聖依拉略（St. Hilary）主教聖師</w:t>
      </w:r>
    </w:p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人生於法國波亞疊城。他出身外教，因渴求真理，竭力探求人生的真正歸宿，終於獲得下列結論：「真理只可能有一位，多神論是錯謬的；真神必須是永遠的，始終如一的，全能的、萬有的。」於是他著手研究聖經，當他讀到出谷紀天主對梅瑟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說</w:t>
      </w:r>
      <w:r w:rsidRPr="0069780A">
        <w:rPr>
          <w:rFonts w:ascii="新細明體" w:eastAsia="新細明體" w:hAnsi="Arial" w:cs="Times New Roman" w:hint="eastAsia"/>
          <w:color w:val="222222"/>
        </w:rPr>
        <w:t>：「我是自有者」時，異常感動，他又讀了諸先知關於天主性體的描寫，對天主有了更深切的認識。他讀完了古經，再讀新經，由若望福音第一章獲悉天主聖子與聖父同性同體。天主賜了他信德真光，他就皈依了聖教，當時他三十五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歲</w:t>
      </w:r>
      <w:r w:rsidRPr="0069780A">
        <w:rPr>
          <w:rFonts w:ascii="新細明體" w:eastAsia="新細明體" w:hAnsi="Arial" w:cs="Times New Roman" w:hint="eastAsia"/>
          <w:color w:val="222222"/>
        </w:rPr>
        <w:t>。他奉教前，已娶妻，並育有一女。因才德卓著，眾望所歸，被選為波亞疊城主教。聖人堅辭不獲，無奈就任。他先後著了《瑪竇福音註釋》和《聖詠註釋》兩書，他的主要著作是駁斥亞略異端的。</w:t>
      </w:r>
    </w:p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三五五年，君士坦丁皇帝命令擁護亞略異端，聲斥聖亞大納削，抗不從命的主教，一律流放異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鄉</w:t>
      </w:r>
      <w:r w:rsidRPr="0069780A">
        <w:rPr>
          <w:rFonts w:ascii="新細明體" w:eastAsia="新細明體" w:hAnsi="Arial" w:cs="Times New Roman" w:hint="eastAsia"/>
          <w:color w:val="222222"/>
        </w:rPr>
        <w:t>，如聖歐瑟伯、路雪福、聖雕尼削第，均在被處流刑之列。聖依拉略特著《致君士坦丁首書》，勸皇帝與教會重歸於好。君士坦丁皇帝將他充軍到小亞細亞的弗理家。他雖飽嘗流離之苦，仍埋首著作；其他最著名的，為《論天主聖三》一書，針對亞略邪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說</w:t>
      </w:r>
      <w:r w:rsidRPr="0069780A">
        <w:rPr>
          <w:rFonts w:ascii="新細明體" w:eastAsia="新細明體" w:hAnsi="Arial" w:cs="Times New Roman" w:hint="eastAsia"/>
          <w:color w:val="222222"/>
        </w:rPr>
        <w:t>，立論精闢，聖教奉為圭臬。</w:t>
      </w:r>
    </w:p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君士坦丁對教會事務仍然橫加干涉，召集亞略派會議，以抵消尼賽大公會議的聲勢。聖人被邀赴會，他堅決擁護尼賽大公會議的決定，二度致書皇帝，後世稱《致君士坦丁二書》，向亞略派提出挑戰，要求公開辯道。亞略派不敢接受，將聖人送回法國。</w:t>
      </w:r>
    </w:p>
    <w:p w:rsidR="00E6478A" w:rsidRPr="0069780A" w:rsidRDefault="00E6478A" w:rsidP="00E6478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聖人返回法國，大受歡迎。三六四年，他親自前往米蘭，促使米蘭主教表態，當眾承認基督為真天主，與聖父同性同體。三六八年，聖人死於波亞疊城。一八五二年，教宗庇護九世立他為教會聖師。</w:t>
      </w:r>
    </w:p>
    <w:p w:rsidR="00DA6ECF" w:rsidRDefault="00DA6ECF">
      <w:bookmarkStart w:id="0" w:name="_GoBack"/>
      <w:bookmarkEnd w:id="0"/>
    </w:p>
    <w:sectPr w:rsidR="00DA6ECF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8A"/>
    <w:rsid w:val="00623258"/>
    <w:rsid w:val="00DA6ECF"/>
    <w:rsid w:val="00E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2016-01-08T09:16:00Z</dcterms:created>
  <dcterms:modified xsi:type="dcterms:W3CDTF">2016-01-08T09:16:00Z</dcterms:modified>
</cp:coreProperties>
</file>